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2236" w:type="dxa"/>
        <w:tblInd w:w="-150" w:type="dxa"/>
        <w:tblBorders>
          <w:top w:val="single" w:sz="6" w:space="0" w:color="C7CDD1"/>
          <w:left w:val="single" w:sz="6" w:space="0" w:color="C7CDD1"/>
          <w:bottom w:val="single" w:sz="6" w:space="0" w:color="C7CDD1"/>
          <w:right w:val="single" w:sz="6" w:space="0" w:color="C7CDD1"/>
        </w:tblBorders>
        <w:shd w:val="clear" w:color="auto" w:fill="FFFFFF"/>
        <w:tblCellMar>
          <w:top w:w="43" w:type="dxa"/>
          <w:left w:w="43" w:type="dxa"/>
          <w:bottom w:w="43" w:type="dxa"/>
          <w:right w:w="43" w:type="dxa"/>
        </w:tblCellMar>
        <w:tblLook w:val="04A0" w:firstRow="1" w:lastRow="0" w:firstColumn="1" w:lastColumn="0" w:noHBand="0" w:noVBand="1"/>
      </w:tblPr>
      <w:tblGrid>
        <w:gridCol w:w="1841"/>
        <w:gridCol w:w="1157"/>
        <w:gridCol w:w="2018"/>
        <w:gridCol w:w="2051"/>
        <w:gridCol w:w="2461"/>
        <w:gridCol w:w="2708"/>
      </w:tblGrid>
      <w:tr w:rsidR="00AE1DB1" w:rsidRPr="00AE1DB1" w14:paraId="0420DF1D" w14:textId="77777777" w:rsidTr="00AE1DB1">
        <w:trPr>
          <w:trHeight w:val="720"/>
          <w:tblHeader/>
        </w:trPr>
        <w:tc>
          <w:tcPr>
            <w:tcW w:w="1841" w:type="dxa"/>
            <w:tcBorders>
              <w:top w:val="nil"/>
              <w:left w:val="single" w:sz="6" w:space="0" w:color="DDDDDD"/>
            </w:tcBorders>
            <w:shd w:val="clear" w:color="auto" w:fill="E4E9ED"/>
            <w:tcMar>
              <w:top w:w="120" w:type="dxa"/>
              <w:left w:w="120" w:type="dxa"/>
              <w:bottom w:w="120" w:type="dxa"/>
              <w:right w:w="120" w:type="dxa"/>
            </w:tcMar>
            <w:hideMark/>
          </w:tcPr>
          <w:p w14:paraId="709153CA" w14:textId="77777777" w:rsidR="00AE1DB1" w:rsidRPr="00AE1DB1" w:rsidRDefault="00AE1DB1" w:rsidP="00AE1DB1">
            <w:r w:rsidRPr="00AE1DB1">
              <w:t>Criterion</w:t>
            </w:r>
          </w:p>
        </w:tc>
        <w:tc>
          <w:tcPr>
            <w:tcW w:w="1157" w:type="dxa"/>
            <w:tcBorders>
              <w:top w:val="nil"/>
              <w:left w:val="single" w:sz="6" w:space="0" w:color="DDDDDD"/>
            </w:tcBorders>
            <w:shd w:val="clear" w:color="auto" w:fill="E4E9ED"/>
            <w:tcMar>
              <w:top w:w="120" w:type="dxa"/>
              <w:left w:w="120" w:type="dxa"/>
              <w:bottom w:w="120" w:type="dxa"/>
              <w:right w:w="120" w:type="dxa"/>
            </w:tcMar>
            <w:hideMark/>
          </w:tcPr>
          <w:p w14:paraId="12485177" w14:textId="77777777" w:rsidR="00AE1DB1" w:rsidRPr="00AE1DB1" w:rsidRDefault="00AE1DB1" w:rsidP="00AE1DB1">
            <w:r w:rsidRPr="00AE1DB1">
              <w:t>No Pass</w:t>
            </w:r>
          </w:p>
        </w:tc>
        <w:tc>
          <w:tcPr>
            <w:tcW w:w="2018" w:type="dxa"/>
            <w:tcBorders>
              <w:top w:val="nil"/>
              <w:left w:val="single" w:sz="6" w:space="0" w:color="DDDDDD"/>
            </w:tcBorders>
            <w:shd w:val="clear" w:color="auto" w:fill="E4E9ED"/>
            <w:tcMar>
              <w:top w:w="120" w:type="dxa"/>
              <w:left w:w="120" w:type="dxa"/>
              <w:bottom w:w="120" w:type="dxa"/>
              <w:right w:w="120" w:type="dxa"/>
            </w:tcMar>
            <w:hideMark/>
          </w:tcPr>
          <w:p w14:paraId="7B69F70D" w14:textId="77777777" w:rsidR="00AE1DB1" w:rsidRPr="00AE1DB1" w:rsidRDefault="00AE1DB1" w:rsidP="00AE1DB1">
            <w:r w:rsidRPr="00AE1DB1">
              <w:t>Pass</w:t>
            </w:r>
            <w:r w:rsidRPr="00AE1DB1">
              <w:br/>
              <w:t>50–59%</w:t>
            </w:r>
          </w:p>
        </w:tc>
        <w:tc>
          <w:tcPr>
            <w:tcW w:w="2051" w:type="dxa"/>
            <w:tcBorders>
              <w:top w:val="nil"/>
              <w:left w:val="single" w:sz="6" w:space="0" w:color="DDDDDD"/>
            </w:tcBorders>
            <w:shd w:val="clear" w:color="auto" w:fill="E4E9ED"/>
            <w:tcMar>
              <w:top w:w="120" w:type="dxa"/>
              <w:left w:w="120" w:type="dxa"/>
              <w:bottom w:w="120" w:type="dxa"/>
              <w:right w:w="120" w:type="dxa"/>
            </w:tcMar>
            <w:hideMark/>
          </w:tcPr>
          <w:p w14:paraId="2B37B019" w14:textId="77777777" w:rsidR="00AE1DB1" w:rsidRPr="00AE1DB1" w:rsidRDefault="00AE1DB1" w:rsidP="00AE1DB1">
            <w:r w:rsidRPr="00AE1DB1">
              <w:t>Credit</w:t>
            </w:r>
            <w:r w:rsidRPr="00AE1DB1">
              <w:br/>
              <w:t>60–69%</w:t>
            </w:r>
          </w:p>
        </w:tc>
        <w:tc>
          <w:tcPr>
            <w:tcW w:w="2461" w:type="dxa"/>
            <w:tcBorders>
              <w:top w:val="nil"/>
              <w:left w:val="single" w:sz="6" w:space="0" w:color="DDDDDD"/>
            </w:tcBorders>
            <w:shd w:val="clear" w:color="auto" w:fill="E4E9ED"/>
            <w:tcMar>
              <w:top w:w="120" w:type="dxa"/>
              <w:left w:w="120" w:type="dxa"/>
              <w:bottom w:w="120" w:type="dxa"/>
              <w:right w:w="120" w:type="dxa"/>
            </w:tcMar>
            <w:hideMark/>
          </w:tcPr>
          <w:p w14:paraId="126B8B06" w14:textId="77777777" w:rsidR="00AE1DB1" w:rsidRPr="00AE1DB1" w:rsidRDefault="00AE1DB1" w:rsidP="00AE1DB1">
            <w:r w:rsidRPr="00AE1DB1">
              <w:t>Distinction</w:t>
            </w:r>
            <w:r w:rsidRPr="00AE1DB1">
              <w:br/>
              <w:t>70–79%</w:t>
            </w:r>
          </w:p>
        </w:tc>
        <w:tc>
          <w:tcPr>
            <w:tcW w:w="2708" w:type="dxa"/>
            <w:tcBorders>
              <w:top w:val="nil"/>
              <w:left w:val="single" w:sz="6" w:space="0" w:color="DDDDDD"/>
            </w:tcBorders>
            <w:shd w:val="clear" w:color="auto" w:fill="E4E9ED"/>
            <w:tcMar>
              <w:top w:w="120" w:type="dxa"/>
              <w:left w:w="120" w:type="dxa"/>
              <w:bottom w:w="120" w:type="dxa"/>
              <w:right w:w="120" w:type="dxa"/>
            </w:tcMar>
            <w:hideMark/>
          </w:tcPr>
          <w:p w14:paraId="42C113C9" w14:textId="77777777" w:rsidR="00AE1DB1" w:rsidRPr="00AE1DB1" w:rsidRDefault="00AE1DB1" w:rsidP="00AE1DB1">
            <w:r w:rsidRPr="00AE1DB1">
              <w:t>High Distinction</w:t>
            </w:r>
            <w:r w:rsidRPr="00AE1DB1">
              <w:br/>
              <w:t>80–100%</w:t>
            </w:r>
          </w:p>
        </w:tc>
      </w:tr>
      <w:tr w:rsidR="00AE1DB1" w:rsidRPr="00AE1DB1" w14:paraId="3E498999" w14:textId="77777777" w:rsidTr="00AE1DB1">
        <w:trPr>
          <w:trHeight w:val="10800"/>
        </w:trPr>
        <w:tc>
          <w:tcPr>
            <w:tcW w:w="1841" w:type="dxa"/>
            <w:tcBorders>
              <w:top w:val="nil"/>
              <w:left w:val="single" w:sz="6" w:space="0" w:color="DDDDDD"/>
            </w:tcBorders>
            <w:shd w:val="clear" w:color="auto" w:fill="F9F9F9"/>
            <w:tcMar>
              <w:top w:w="120" w:type="dxa"/>
              <w:left w:w="120" w:type="dxa"/>
              <w:bottom w:w="120" w:type="dxa"/>
              <w:right w:w="120" w:type="dxa"/>
            </w:tcMar>
            <w:hideMark/>
          </w:tcPr>
          <w:p w14:paraId="7C1C0DE2" w14:textId="77777777" w:rsidR="00AE1DB1" w:rsidRPr="00AE1DB1" w:rsidRDefault="00AE1DB1" w:rsidP="00AE1DB1">
            <w:r w:rsidRPr="00AE1DB1">
              <w:rPr>
                <w:b/>
                <w:bCs/>
              </w:rPr>
              <w:t>Recognise and develop opportunities for numeracy- and mathematics- related experiences in play, and everyday experiences in early childhood settings</w:t>
            </w:r>
            <w:r w:rsidRPr="00AE1DB1">
              <w:br/>
              <w:t>(40%)</w:t>
            </w:r>
          </w:p>
        </w:tc>
        <w:tc>
          <w:tcPr>
            <w:tcW w:w="1157" w:type="dxa"/>
            <w:tcBorders>
              <w:top w:val="nil"/>
              <w:left w:val="single" w:sz="6" w:space="0" w:color="DDDDDD"/>
            </w:tcBorders>
            <w:shd w:val="clear" w:color="auto" w:fill="F9F9F9"/>
            <w:tcMar>
              <w:top w:w="120" w:type="dxa"/>
              <w:left w:w="120" w:type="dxa"/>
              <w:bottom w:w="120" w:type="dxa"/>
              <w:right w:w="120" w:type="dxa"/>
            </w:tcMar>
            <w:hideMark/>
          </w:tcPr>
          <w:p w14:paraId="5B4D99B3" w14:textId="77777777" w:rsidR="00AE1DB1" w:rsidRPr="00AE1DB1" w:rsidRDefault="00AE1DB1" w:rsidP="00AE1DB1">
            <w:r w:rsidRPr="00AE1DB1">
              <w:t>Did not meet criterion.</w:t>
            </w:r>
          </w:p>
        </w:tc>
        <w:tc>
          <w:tcPr>
            <w:tcW w:w="2018" w:type="dxa"/>
            <w:tcBorders>
              <w:top w:val="nil"/>
              <w:left w:val="single" w:sz="6" w:space="0" w:color="DDDDDD"/>
            </w:tcBorders>
            <w:shd w:val="clear" w:color="auto" w:fill="F9F9F9"/>
            <w:tcMar>
              <w:top w:w="120" w:type="dxa"/>
              <w:left w:w="120" w:type="dxa"/>
              <w:bottom w:w="120" w:type="dxa"/>
              <w:right w:w="120" w:type="dxa"/>
            </w:tcMar>
            <w:hideMark/>
          </w:tcPr>
          <w:p w14:paraId="4B0E58F2" w14:textId="77777777" w:rsidR="00AE1DB1" w:rsidRPr="00AE1DB1" w:rsidRDefault="00AE1DB1" w:rsidP="00AE1DB1">
            <w:r w:rsidRPr="00AE1DB1">
              <w:t>Opportunities for numeracy and mathematics-related experiences in play and everyday experiences in early childhood settings have been identified, although these are not aligned to the age range and maths concept chosen.</w:t>
            </w:r>
          </w:p>
          <w:p w14:paraId="00770B7E" w14:textId="77777777" w:rsidR="00AE1DB1" w:rsidRPr="00AE1DB1" w:rsidRDefault="00AE1DB1" w:rsidP="00AE1DB1">
            <w:r w:rsidRPr="00AE1DB1">
              <w:t>Links to the relevant curricula documents are missing, and practical examples do not support the learning experience included.</w:t>
            </w:r>
          </w:p>
        </w:tc>
        <w:tc>
          <w:tcPr>
            <w:tcW w:w="2051" w:type="dxa"/>
            <w:tcBorders>
              <w:top w:val="nil"/>
              <w:left w:val="single" w:sz="6" w:space="0" w:color="DDDDDD"/>
            </w:tcBorders>
            <w:shd w:val="clear" w:color="auto" w:fill="F9F9F9"/>
            <w:tcMar>
              <w:top w:w="120" w:type="dxa"/>
              <w:left w:w="120" w:type="dxa"/>
              <w:bottom w:w="120" w:type="dxa"/>
              <w:right w:w="120" w:type="dxa"/>
            </w:tcMar>
            <w:hideMark/>
          </w:tcPr>
          <w:p w14:paraId="72009080" w14:textId="77777777" w:rsidR="00AE1DB1" w:rsidRPr="00AE1DB1" w:rsidRDefault="00AE1DB1" w:rsidP="00AE1DB1">
            <w:r w:rsidRPr="00AE1DB1">
              <w:t>Opportunities for numeracy and mathematics-related experiences in play and everyday experiences in early childhood settings have been identified and are mostly relevant for the age range and maths concept chosen.</w:t>
            </w:r>
          </w:p>
          <w:p w14:paraId="1AB47364" w14:textId="77777777" w:rsidR="00AE1DB1" w:rsidRPr="00AE1DB1" w:rsidRDefault="00AE1DB1" w:rsidP="00AE1DB1">
            <w:r w:rsidRPr="00AE1DB1">
              <w:t>Links are made to the relevant curricula documents and mostly align with this experience, which is supported by practical examples.</w:t>
            </w:r>
          </w:p>
        </w:tc>
        <w:tc>
          <w:tcPr>
            <w:tcW w:w="2461" w:type="dxa"/>
            <w:tcBorders>
              <w:top w:val="nil"/>
              <w:left w:val="single" w:sz="6" w:space="0" w:color="DDDDDD"/>
            </w:tcBorders>
            <w:shd w:val="clear" w:color="auto" w:fill="F9F9F9"/>
            <w:tcMar>
              <w:top w:w="120" w:type="dxa"/>
              <w:left w:w="120" w:type="dxa"/>
              <w:bottom w:w="120" w:type="dxa"/>
              <w:right w:w="120" w:type="dxa"/>
            </w:tcMar>
            <w:hideMark/>
          </w:tcPr>
          <w:p w14:paraId="17BB9022" w14:textId="77777777" w:rsidR="00AE1DB1" w:rsidRPr="00AE1DB1" w:rsidRDefault="00AE1DB1" w:rsidP="00AE1DB1">
            <w:r w:rsidRPr="00AE1DB1">
              <w:t>Opportunities for numeracy and mathematics-related experiences in play and everyday experiences in early childhood settings have been chosen and developed for the relevant age range and maths concept chosen.</w:t>
            </w:r>
          </w:p>
          <w:p w14:paraId="119522CC" w14:textId="77777777" w:rsidR="00AE1DB1" w:rsidRPr="00AE1DB1" w:rsidRDefault="00AE1DB1" w:rsidP="00AE1DB1">
            <w:r w:rsidRPr="00AE1DB1">
              <w:t>There is various evidence of knowledge about how numeracy and mathematics in play and everyday experiences can be developed. This evidence is supported by practical examples and is linked to mathematical concepts.</w:t>
            </w:r>
          </w:p>
        </w:tc>
        <w:tc>
          <w:tcPr>
            <w:tcW w:w="2708" w:type="dxa"/>
            <w:tcBorders>
              <w:top w:val="nil"/>
              <w:left w:val="single" w:sz="6" w:space="0" w:color="DDDDDD"/>
            </w:tcBorders>
            <w:shd w:val="clear" w:color="auto" w:fill="F9F9F9"/>
            <w:tcMar>
              <w:top w:w="120" w:type="dxa"/>
              <w:left w:w="120" w:type="dxa"/>
              <w:bottom w:w="120" w:type="dxa"/>
              <w:right w:w="120" w:type="dxa"/>
            </w:tcMar>
            <w:hideMark/>
          </w:tcPr>
          <w:p w14:paraId="2164B9AA" w14:textId="77777777" w:rsidR="00AE1DB1" w:rsidRPr="00AE1DB1" w:rsidRDefault="00AE1DB1" w:rsidP="00AE1DB1">
            <w:r w:rsidRPr="00AE1DB1">
              <w:t>Opportunities for numeracy and mathematics-related experiences in play and everyday experiences in early childhood settings have been carefully chosen and developed for the relevant age range and maths concept chosen.</w:t>
            </w:r>
          </w:p>
          <w:p w14:paraId="30336229" w14:textId="77777777" w:rsidR="00AE1DB1" w:rsidRPr="00AE1DB1" w:rsidRDefault="00AE1DB1" w:rsidP="00AE1DB1">
            <w:r w:rsidRPr="00AE1DB1">
              <w:t>There is various evidence of knowledge about how numeracy and mathematics in play and everyday experiences can be developed. This evidence is supported by practical examples and is analysed through mathematical concepts.</w:t>
            </w:r>
          </w:p>
        </w:tc>
      </w:tr>
      <w:tr w:rsidR="00AE1DB1" w:rsidRPr="00AE1DB1" w14:paraId="3A8F52AD" w14:textId="77777777" w:rsidTr="00AE1DB1">
        <w:trPr>
          <w:trHeight w:val="8280"/>
        </w:trPr>
        <w:tc>
          <w:tcPr>
            <w:tcW w:w="1841"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26309018" w14:textId="77777777" w:rsidR="00AE1DB1" w:rsidRPr="00AE1DB1" w:rsidRDefault="00AE1DB1" w:rsidP="00AE1DB1">
            <w:r w:rsidRPr="00AE1DB1">
              <w:rPr>
                <w:b/>
                <w:bCs/>
              </w:rPr>
              <w:lastRenderedPageBreak/>
              <w:t>Describe the nature and development of mathematical thinking and numeracy processes in children</w:t>
            </w:r>
            <w:r w:rsidRPr="00AE1DB1">
              <w:br/>
              <w:t>(40%)</w:t>
            </w:r>
          </w:p>
        </w:tc>
        <w:tc>
          <w:tcPr>
            <w:tcW w:w="1157"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3014B692" w14:textId="77777777" w:rsidR="00AE1DB1" w:rsidRPr="00AE1DB1" w:rsidRDefault="00AE1DB1" w:rsidP="00AE1DB1">
            <w:r w:rsidRPr="00AE1DB1">
              <w:t>Did not meet criterion.</w:t>
            </w:r>
          </w:p>
        </w:tc>
        <w:tc>
          <w:tcPr>
            <w:tcW w:w="2018"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25ACCE51" w14:textId="77777777" w:rsidR="00AE1DB1" w:rsidRPr="00AE1DB1" w:rsidRDefault="00AE1DB1" w:rsidP="00AE1DB1">
            <w:r w:rsidRPr="00AE1DB1">
              <w:t>A description of the nature and the development of mathematical thinking and numeracy processes in children is provided.</w:t>
            </w:r>
          </w:p>
          <w:p w14:paraId="7173B3A4" w14:textId="77777777" w:rsidR="00AE1DB1" w:rsidRPr="00AE1DB1" w:rsidRDefault="00AE1DB1" w:rsidP="00AE1DB1">
            <w:r w:rsidRPr="00AE1DB1">
              <w:t>The description is clear in some places but there are some areas of confusion.</w:t>
            </w:r>
          </w:p>
          <w:p w14:paraId="7EBF9FF2" w14:textId="77777777" w:rsidR="00AE1DB1" w:rsidRPr="00AE1DB1" w:rsidRDefault="00AE1DB1" w:rsidP="00AE1DB1">
            <w:r w:rsidRPr="00AE1DB1">
              <w:t>Descriptions are not adequately supported with relevant research literature.</w:t>
            </w:r>
          </w:p>
        </w:tc>
        <w:tc>
          <w:tcPr>
            <w:tcW w:w="2051"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18681368" w14:textId="77777777" w:rsidR="00AE1DB1" w:rsidRPr="00AE1DB1" w:rsidRDefault="00AE1DB1" w:rsidP="00AE1DB1">
            <w:r w:rsidRPr="00AE1DB1">
              <w:t>A description of the nature and the development of mathematical thinking and numeracy processes in children is provided.</w:t>
            </w:r>
          </w:p>
          <w:p w14:paraId="6BBD466F" w14:textId="77777777" w:rsidR="00AE1DB1" w:rsidRPr="00AE1DB1" w:rsidRDefault="00AE1DB1" w:rsidP="00AE1DB1">
            <w:r w:rsidRPr="00AE1DB1">
              <w:t>The description is clear and easy to understand.</w:t>
            </w:r>
          </w:p>
          <w:p w14:paraId="5743FF5E" w14:textId="77777777" w:rsidR="00AE1DB1" w:rsidRPr="00AE1DB1" w:rsidRDefault="00AE1DB1" w:rsidP="00AE1DB1">
            <w:r w:rsidRPr="00AE1DB1">
              <w:t>Descriptions are adequately supported with the communication of some relevant research literature.</w:t>
            </w:r>
          </w:p>
        </w:tc>
        <w:tc>
          <w:tcPr>
            <w:tcW w:w="2461"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66A89A7A" w14:textId="77777777" w:rsidR="00AE1DB1" w:rsidRPr="00AE1DB1" w:rsidRDefault="00AE1DB1" w:rsidP="00AE1DB1">
            <w:r w:rsidRPr="00AE1DB1">
              <w:t>A description of the nature and the development of mathematical thinking and numeracy processes in children is clearly and concisely presented.</w:t>
            </w:r>
          </w:p>
          <w:p w14:paraId="6D3B38A6" w14:textId="77777777" w:rsidR="00AE1DB1" w:rsidRPr="00AE1DB1" w:rsidRDefault="00AE1DB1" w:rsidP="00AE1DB1">
            <w:r w:rsidRPr="00AE1DB1">
              <w:t>Descriptions have emerged through the relevant research literature and ideas.</w:t>
            </w:r>
          </w:p>
          <w:p w14:paraId="13F91B96" w14:textId="77777777" w:rsidR="00AE1DB1" w:rsidRPr="00AE1DB1" w:rsidRDefault="00AE1DB1" w:rsidP="00AE1DB1">
            <w:r w:rsidRPr="00AE1DB1">
              <w:t>A variety of sources have been drawn upon and have been communicated to the audience.</w:t>
            </w:r>
          </w:p>
        </w:tc>
        <w:tc>
          <w:tcPr>
            <w:tcW w:w="2708" w:type="dxa"/>
            <w:tcBorders>
              <w:top w:val="single" w:sz="6" w:space="0" w:color="DDDDDD"/>
              <w:left w:val="single" w:sz="6" w:space="0" w:color="DDDDDD"/>
            </w:tcBorders>
            <w:shd w:val="clear" w:color="auto" w:fill="FFFFFF"/>
            <w:tcMar>
              <w:top w:w="120" w:type="dxa"/>
              <w:left w:w="120" w:type="dxa"/>
              <w:bottom w:w="120" w:type="dxa"/>
              <w:right w:w="120" w:type="dxa"/>
            </w:tcMar>
            <w:hideMark/>
          </w:tcPr>
          <w:p w14:paraId="56A416E4" w14:textId="77777777" w:rsidR="00AE1DB1" w:rsidRPr="00AE1DB1" w:rsidRDefault="00AE1DB1" w:rsidP="00AE1DB1">
            <w:r w:rsidRPr="00AE1DB1">
              <w:t>A description of the nature and the development of mathematical thinking and numeracy processes in children is clearly and concisely presented.</w:t>
            </w:r>
          </w:p>
          <w:p w14:paraId="700F1B04" w14:textId="77777777" w:rsidR="00AE1DB1" w:rsidRPr="00AE1DB1" w:rsidRDefault="00AE1DB1" w:rsidP="00AE1DB1">
            <w:r w:rsidRPr="00AE1DB1">
              <w:t>Descriptions have emerged through the relevant research literature and ideas have been synthesised with the mathematical concepts.</w:t>
            </w:r>
          </w:p>
          <w:p w14:paraId="0E8C61C4" w14:textId="77777777" w:rsidR="00AE1DB1" w:rsidRPr="00AE1DB1" w:rsidRDefault="00AE1DB1" w:rsidP="00AE1DB1">
            <w:r w:rsidRPr="00AE1DB1">
              <w:t>A variety of sources have been drawn upon and communicated to the audience.</w:t>
            </w:r>
          </w:p>
        </w:tc>
      </w:tr>
    </w:tbl>
    <w:p w14:paraId="468F9B27" w14:textId="77777777" w:rsidR="00BC7CCF" w:rsidRDefault="00BC7CCF"/>
    <w:sectPr w:rsidR="00BC7CCF" w:rsidSect="00AE1DB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DB1"/>
    <w:rsid w:val="00AE1DB1"/>
    <w:rsid w:val="00BC7C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DB141"/>
  <w15:chartTrackingRefBased/>
  <w15:docId w15:val="{F276A277-92CC-4960-8E3D-150010428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2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470</Words>
  <Characters>2685</Characters>
  <Application>Microsoft Office Word</Application>
  <DocSecurity>0</DocSecurity>
  <Lines>22</Lines>
  <Paragraphs>6</Paragraphs>
  <ScaleCrop>false</ScaleCrop>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Nour Yahia</dc:creator>
  <cp:keywords/>
  <dc:description/>
  <cp:lastModifiedBy>Nour Yahia</cp:lastModifiedBy>
  <cp:revision>1</cp:revision>
  <dcterms:created xsi:type="dcterms:W3CDTF">2021-05-02T14:16:00Z</dcterms:created>
  <dcterms:modified xsi:type="dcterms:W3CDTF">2021-05-02T14:18:00Z</dcterms:modified>
</cp:coreProperties>
</file>